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0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1369"/>
        <w:gridCol w:w="3945"/>
        <w:gridCol w:w="2450"/>
        <w:gridCol w:w="207"/>
      </w:tblGrid>
      <w:tr w:rsidR="00E27456" w:rsidTr="00DF769F">
        <w:trPr>
          <w:trHeight w:val="997"/>
        </w:trPr>
        <w:tc>
          <w:tcPr>
            <w:tcW w:w="2657" w:type="dxa"/>
          </w:tcPr>
          <w:p w:rsidR="00E27456" w:rsidRDefault="00E27456" w:rsidP="004420DC">
            <w:pPr>
              <w:jc w:val="center"/>
            </w:pPr>
          </w:p>
        </w:tc>
        <w:tc>
          <w:tcPr>
            <w:tcW w:w="5314" w:type="dxa"/>
            <w:gridSpan w:val="2"/>
          </w:tcPr>
          <w:p w:rsidR="004420DC" w:rsidRPr="004420DC" w:rsidRDefault="004420DC" w:rsidP="004420DC">
            <w:pPr>
              <w:spacing w:line="300" w:lineRule="exact"/>
              <w:jc w:val="center"/>
              <w:rPr>
                <w:rFonts w:ascii="Comic Sans MS" w:hAnsi="Comic Sans MS"/>
                <w:noProof/>
                <w:u w:val="wave"/>
              </w:rPr>
            </w:pPr>
            <w:r w:rsidRPr="004420DC">
              <w:rPr>
                <w:rFonts w:ascii="Comic Sans MS" w:hAnsi="Comic Sans MS"/>
                <w:noProof/>
                <w:u w:val="wave"/>
              </w:rPr>
              <w:t>FICHE TECHNIQUE N°21:</w:t>
            </w:r>
          </w:p>
          <w:p w:rsidR="004420DC" w:rsidRPr="004420DC" w:rsidRDefault="004420DC" w:rsidP="004420DC">
            <w:pPr>
              <w:spacing w:line="300" w:lineRule="exact"/>
              <w:jc w:val="center"/>
              <w:rPr>
                <w:rFonts w:ascii="Comic Sans MS" w:hAnsi="Comic Sans MS"/>
                <w:noProof/>
                <w:u w:val="wave"/>
              </w:rPr>
            </w:pPr>
            <w:r w:rsidRPr="004420DC">
              <w:rPr>
                <w:rFonts w:ascii="Comic Sans MS" w:hAnsi="Comic Sans MS"/>
                <w:noProof/>
                <w:u w:val="wave"/>
              </w:rPr>
              <w:t>Les injections parentérales</w:t>
            </w:r>
          </w:p>
          <w:p w:rsidR="00E27456" w:rsidRDefault="004420DC" w:rsidP="004420DC">
            <w:pPr>
              <w:jc w:val="center"/>
            </w:pPr>
            <w:r>
              <w:rPr>
                <w:rFonts w:ascii="Comic Sans MS" w:hAnsi="Comic Sans MS"/>
                <w:noProof/>
                <w:u w:val="wave"/>
              </w:rPr>
              <w:t>(IM,IV,SC,</w:t>
            </w:r>
            <w:r w:rsidRPr="004420DC">
              <w:rPr>
                <w:rFonts w:ascii="Comic Sans MS" w:hAnsi="Comic Sans MS"/>
                <w:noProof/>
                <w:u w:val="wave"/>
              </w:rPr>
              <w:t>ID)</w:t>
            </w:r>
          </w:p>
        </w:tc>
        <w:tc>
          <w:tcPr>
            <w:tcW w:w="2657" w:type="dxa"/>
            <w:gridSpan w:val="2"/>
          </w:tcPr>
          <w:p w:rsidR="00E27456" w:rsidRDefault="00601079" w:rsidP="004420DC">
            <w:pPr>
              <w:jc w:val="center"/>
            </w:pPr>
            <w:r w:rsidRPr="00601079">
              <w:rPr>
                <w:noProof/>
              </w:rPr>
              <w:drawing>
                <wp:inline distT="0" distB="0" distL="0" distR="0" wp14:anchorId="678A2A0B" wp14:editId="3A7BE773">
                  <wp:extent cx="897147" cy="767751"/>
                  <wp:effectExtent l="0" t="0" r="0" b="0"/>
                  <wp:docPr id="2" name="Image 2" descr="Résultat de recherche d'images pour &quot;dessin de seringue a imprim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e recherche d'images pour &quot;dessin de seringue a imprime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164" cy="767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128" w:rsidTr="00DF769F">
        <w:tblPrEx>
          <w:jc w:val="center"/>
        </w:tblPrEx>
        <w:trPr>
          <w:gridAfter w:val="1"/>
          <w:wAfter w:w="207" w:type="dxa"/>
          <w:jc w:val="center"/>
        </w:trPr>
        <w:tc>
          <w:tcPr>
            <w:tcW w:w="4026" w:type="dxa"/>
            <w:gridSpan w:val="2"/>
          </w:tcPr>
          <w:p w:rsidR="00CB3128" w:rsidRPr="00AC52C9" w:rsidRDefault="00CB3128" w:rsidP="00DF769F">
            <w:pPr>
              <w:rPr>
                <w:rFonts w:ascii="Comic Sans MS" w:hAnsi="Comic Sans MS"/>
                <w:noProof/>
              </w:rPr>
            </w:pPr>
            <w:r w:rsidRPr="00AC52C9">
              <w:rPr>
                <w:rFonts w:ascii="Comic Sans MS" w:hAnsi="Comic Sans MS"/>
                <w:noProof/>
              </w:rPr>
              <w:t>Les injections parentérales</w:t>
            </w:r>
            <w:r>
              <w:rPr>
                <w:rFonts w:ascii="Comic Sans MS" w:hAnsi="Comic Sans MS"/>
                <w:noProof/>
              </w:rPr>
              <w:t xml:space="preserve"> sont des techniques qui permettent d’introduire dans le corps des médicaments </w:t>
            </w:r>
            <w:r w:rsidRPr="00AC52C9">
              <w:rPr>
                <w:rFonts w:ascii="Comic Sans MS" w:hAnsi="Comic Sans MS"/>
                <w:noProof/>
              </w:rPr>
              <w:t>par une autre voie que la voie entérale (qu</w:t>
            </w:r>
            <w:r>
              <w:rPr>
                <w:rFonts w:ascii="Comic Sans MS" w:hAnsi="Comic Sans MS"/>
                <w:noProof/>
              </w:rPr>
              <w:t>i passe par la voie digestive). Ces voies sont :</w:t>
            </w:r>
            <w:r w:rsidRPr="00AC52C9">
              <w:rPr>
                <w:rFonts w:ascii="Comic Sans MS" w:hAnsi="Comic Sans MS"/>
                <w:noProof/>
              </w:rPr>
              <w:t xml:space="preserve"> </w:t>
            </w:r>
            <w:r>
              <w:rPr>
                <w:rFonts w:ascii="Comic Sans MS" w:hAnsi="Comic Sans MS"/>
                <w:noProof/>
              </w:rPr>
              <w:t>l’</w:t>
            </w:r>
            <w:r w:rsidRPr="00AC52C9">
              <w:rPr>
                <w:rFonts w:ascii="Comic Sans MS" w:hAnsi="Comic Sans MS"/>
                <w:noProof/>
              </w:rPr>
              <w:t xml:space="preserve">intramusculaire (IM), </w:t>
            </w:r>
            <w:r>
              <w:rPr>
                <w:rFonts w:ascii="Comic Sans MS" w:hAnsi="Comic Sans MS"/>
                <w:noProof/>
              </w:rPr>
              <w:t>l’</w:t>
            </w:r>
            <w:r w:rsidRPr="00AC52C9">
              <w:rPr>
                <w:rFonts w:ascii="Comic Sans MS" w:hAnsi="Comic Sans MS"/>
                <w:noProof/>
              </w:rPr>
              <w:t xml:space="preserve">intraveineuse(IV), </w:t>
            </w:r>
            <w:r>
              <w:rPr>
                <w:rFonts w:ascii="Comic Sans MS" w:hAnsi="Comic Sans MS"/>
                <w:noProof/>
              </w:rPr>
              <w:t xml:space="preserve">la </w:t>
            </w:r>
            <w:r w:rsidRPr="00AC52C9">
              <w:rPr>
                <w:rFonts w:ascii="Comic Sans MS" w:hAnsi="Comic Sans MS"/>
                <w:noProof/>
              </w:rPr>
              <w:t xml:space="preserve">sous-cutanée (SC), </w:t>
            </w:r>
            <w:r>
              <w:rPr>
                <w:rFonts w:ascii="Comic Sans MS" w:hAnsi="Comic Sans MS"/>
                <w:noProof/>
              </w:rPr>
              <w:t>l’</w:t>
            </w:r>
            <w:r w:rsidRPr="00AC52C9">
              <w:rPr>
                <w:rFonts w:ascii="Comic Sans MS" w:hAnsi="Comic Sans MS"/>
                <w:noProof/>
              </w:rPr>
              <w:t>intradermique (ID)</w:t>
            </w:r>
            <w:r>
              <w:rPr>
                <w:rFonts w:ascii="Comic Sans MS" w:hAnsi="Comic Sans MS"/>
                <w:noProof/>
              </w:rPr>
              <w:t xml:space="preserve"> pour une</w:t>
            </w:r>
            <w:r w:rsidRPr="00AC52C9">
              <w:rPr>
                <w:rFonts w:ascii="Comic Sans MS" w:hAnsi="Comic Sans MS"/>
                <w:noProof/>
              </w:rPr>
              <w:t xml:space="preserve"> </w:t>
            </w:r>
          </w:p>
          <w:p w:rsidR="00CB3128" w:rsidRDefault="00CB3128" w:rsidP="00DF769F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a</w:t>
            </w:r>
            <w:r w:rsidRPr="00AC52C9">
              <w:rPr>
                <w:rFonts w:ascii="Comic Sans MS" w:hAnsi="Comic Sans MS"/>
                <w:noProof/>
              </w:rPr>
              <w:t>ction plus rapide et plus précise qui évit</w:t>
            </w:r>
            <w:r>
              <w:rPr>
                <w:rFonts w:ascii="Comic Sans MS" w:hAnsi="Comic Sans MS"/>
                <w:noProof/>
              </w:rPr>
              <w:t>e la voie digestive (qui dégrade le médicament</w:t>
            </w:r>
            <w:r w:rsidRPr="00AC52C9">
              <w:rPr>
                <w:rFonts w:ascii="Comic Sans MS" w:hAnsi="Comic Sans MS"/>
                <w:noProof/>
              </w:rPr>
              <w:t>)</w:t>
            </w:r>
            <w:r>
              <w:rPr>
                <w:rFonts w:ascii="Comic Sans MS" w:hAnsi="Comic Sans MS"/>
                <w:noProof/>
              </w:rPr>
              <w:t xml:space="preserve"> ou q</w:t>
            </w:r>
            <w:r w:rsidRPr="00AC52C9">
              <w:rPr>
                <w:rFonts w:ascii="Comic Sans MS" w:hAnsi="Comic Sans MS"/>
                <w:noProof/>
              </w:rPr>
              <w:t>uand la voie orale est impossible</w:t>
            </w:r>
            <w:r>
              <w:rPr>
                <w:rFonts w:ascii="Comic Sans MS" w:hAnsi="Comic Sans MS"/>
                <w:noProof/>
              </w:rPr>
              <w:t xml:space="preserve"> (</w:t>
            </w:r>
            <w:r w:rsidRPr="00AC52C9">
              <w:rPr>
                <w:rFonts w:ascii="Comic Sans MS" w:hAnsi="Comic Sans MS"/>
                <w:noProof/>
              </w:rPr>
              <w:t>situation d’urgence</w:t>
            </w:r>
            <w:r>
              <w:rPr>
                <w:rFonts w:ascii="Comic Sans MS" w:hAnsi="Comic Sans MS"/>
                <w:noProof/>
              </w:rPr>
              <w:t>).</w:t>
            </w:r>
          </w:p>
        </w:tc>
        <w:tc>
          <w:tcPr>
            <w:tcW w:w="6395" w:type="dxa"/>
            <w:gridSpan w:val="2"/>
            <w:vAlign w:val="center"/>
          </w:tcPr>
          <w:p w:rsidR="00CB3128" w:rsidRDefault="00CB3128" w:rsidP="00CB3128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inline distT="0" distB="0" distL="0" distR="0" wp14:anchorId="7242C33A" wp14:editId="0648838E">
                  <wp:extent cx="3924276" cy="2234241"/>
                  <wp:effectExtent l="0" t="0" r="0" b="0"/>
                  <wp:docPr id="13" name="Image 13" descr="injections parentérales infirmier angle techniq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njections parentérales infirmier angle techniq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8975" cy="2236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769F" w:rsidRDefault="00DF769F" w:rsidP="00AC52C9">
      <w:pPr>
        <w:spacing w:after="0" w:line="260" w:lineRule="exact"/>
        <w:rPr>
          <w:rFonts w:ascii="Comic Sans MS" w:hAnsi="Comic Sans MS"/>
          <w:noProof/>
        </w:rPr>
      </w:pPr>
    </w:p>
    <w:p w:rsidR="00AC52C9" w:rsidRPr="00AC52C9" w:rsidRDefault="00AC52C9" w:rsidP="00DF769F">
      <w:pPr>
        <w:spacing w:after="0" w:line="260" w:lineRule="exact"/>
        <w:rPr>
          <w:rFonts w:ascii="Comic Sans MS" w:hAnsi="Comic Sans MS"/>
          <w:noProof/>
        </w:rPr>
      </w:pPr>
      <w:r w:rsidRPr="00AC52C9">
        <w:rPr>
          <w:rFonts w:ascii="Comic Sans MS" w:hAnsi="Comic Sans MS"/>
          <w:noProof/>
        </w:rPr>
        <w:t>1/ Indications</w:t>
      </w:r>
    </w:p>
    <w:p w:rsidR="00AC52C9" w:rsidRPr="00DF769F" w:rsidRDefault="00AC52C9" w:rsidP="00DF769F">
      <w:pPr>
        <w:pStyle w:val="Paragraphedeliste"/>
        <w:numPr>
          <w:ilvl w:val="0"/>
          <w:numId w:val="36"/>
        </w:numPr>
        <w:spacing w:after="0" w:line="260" w:lineRule="exact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Prévention = vaccinothérapie…</w:t>
      </w:r>
    </w:p>
    <w:p w:rsidR="00AC52C9" w:rsidRPr="00DF769F" w:rsidRDefault="00AC52C9" w:rsidP="00DF769F">
      <w:pPr>
        <w:pStyle w:val="Paragraphedeliste"/>
        <w:numPr>
          <w:ilvl w:val="0"/>
          <w:numId w:val="36"/>
        </w:numPr>
        <w:spacing w:after="0" w:line="260" w:lineRule="exact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Thérapeutique = ATB…</w:t>
      </w:r>
    </w:p>
    <w:p w:rsidR="00AC52C9" w:rsidRPr="00DF769F" w:rsidRDefault="00AC52C9" w:rsidP="00DF769F">
      <w:pPr>
        <w:pStyle w:val="Paragraphedeliste"/>
        <w:numPr>
          <w:ilvl w:val="0"/>
          <w:numId w:val="36"/>
        </w:numPr>
        <w:spacing w:after="0" w:line="260" w:lineRule="exact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Diagnostique = allergies…</w:t>
      </w:r>
    </w:p>
    <w:p w:rsidR="00AC52C9" w:rsidRPr="00AC52C9" w:rsidRDefault="00AC52C9" w:rsidP="00AC52C9">
      <w:pPr>
        <w:spacing w:after="0" w:line="260" w:lineRule="exact"/>
        <w:rPr>
          <w:rFonts w:ascii="Comic Sans MS" w:hAnsi="Comic Sans MS"/>
          <w:noProof/>
        </w:rPr>
      </w:pPr>
    </w:p>
    <w:p w:rsidR="00AC52C9" w:rsidRPr="00AC52C9" w:rsidRDefault="00AC52C9" w:rsidP="00DF769F">
      <w:pPr>
        <w:spacing w:after="0" w:line="260" w:lineRule="exact"/>
        <w:rPr>
          <w:rFonts w:ascii="Comic Sans MS" w:hAnsi="Comic Sans MS"/>
          <w:noProof/>
        </w:rPr>
      </w:pPr>
      <w:r w:rsidRPr="00AC52C9">
        <w:rPr>
          <w:rFonts w:ascii="Comic Sans MS" w:hAnsi="Comic Sans MS"/>
          <w:noProof/>
        </w:rPr>
        <w:t>2/ Les seringues</w:t>
      </w:r>
    </w:p>
    <w:p w:rsidR="00AC52C9" w:rsidRPr="00DF769F" w:rsidRDefault="00AC52C9" w:rsidP="00DF769F">
      <w:pPr>
        <w:pStyle w:val="Paragraphedeliste"/>
        <w:numPr>
          <w:ilvl w:val="0"/>
          <w:numId w:val="37"/>
        </w:numPr>
        <w:spacing w:after="0" w:line="260" w:lineRule="exact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Stériles, à usage unique, en plastique ou en verre pour certains produits</w:t>
      </w:r>
    </w:p>
    <w:p w:rsidR="00AC52C9" w:rsidRPr="00DF769F" w:rsidRDefault="00AC52C9" w:rsidP="00DF769F">
      <w:pPr>
        <w:pStyle w:val="Paragraphedeliste"/>
        <w:numPr>
          <w:ilvl w:val="0"/>
          <w:numId w:val="37"/>
        </w:numPr>
        <w:spacing w:after="0" w:line="260" w:lineRule="exact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Tailles variable, embouts variables</w:t>
      </w:r>
    </w:p>
    <w:p w:rsidR="00AC52C9" w:rsidRPr="00DF769F" w:rsidRDefault="00AC52C9" w:rsidP="00DF769F">
      <w:pPr>
        <w:pStyle w:val="Paragraphedeliste"/>
        <w:numPr>
          <w:ilvl w:val="0"/>
          <w:numId w:val="37"/>
        </w:numPr>
        <w:spacing w:after="0" w:line="260" w:lineRule="exact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Seringues spécifiques = insuline, tuberculine, pré-remplies…</w:t>
      </w:r>
    </w:p>
    <w:p w:rsidR="00AC52C9" w:rsidRPr="00AC52C9" w:rsidRDefault="00AC52C9" w:rsidP="00AC52C9">
      <w:pPr>
        <w:spacing w:after="0" w:line="260" w:lineRule="exact"/>
        <w:rPr>
          <w:rFonts w:ascii="Comic Sans MS" w:hAnsi="Comic Sans MS"/>
          <w:noProof/>
        </w:rPr>
      </w:pPr>
    </w:p>
    <w:p w:rsidR="00AC52C9" w:rsidRPr="00AC52C9" w:rsidRDefault="00AC52C9" w:rsidP="00DF769F">
      <w:pPr>
        <w:spacing w:after="0" w:line="260" w:lineRule="exact"/>
        <w:rPr>
          <w:rFonts w:ascii="Comic Sans MS" w:hAnsi="Comic Sans MS"/>
          <w:noProof/>
        </w:rPr>
      </w:pPr>
      <w:r w:rsidRPr="00AC52C9">
        <w:rPr>
          <w:rFonts w:ascii="Comic Sans MS" w:hAnsi="Comic Sans MS"/>
          <w:noProof/>
        </w:rPr>
        <w:t>3/ Les aiguilles</w:t>
      </w:r>
    </w:p>
    <w:p w:rsidR="00C425E6" w:rsidRDefault="00C425E6" w:rsidP="00C425E6">
      <w:pPr>
        <w:pStyle w:val="Paragraphedeliste"/>
        <w:spacing w:after="0" w:line="260" w:lineRule="exact"/>
        <w:ind w:left="360"/>
        <w:rPr>
          <w:rFonts w:ascii="Comic Sans MS" w:hAnsi="Comic Sans MS"/>
          <w:noProof/>
        </w:rPr>
      </w:pPr>
    </w:p>
    <w:p w:rsidR="00AC52C9" w:rsidRPr="00DF769F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Stériles, à usage unique</w:t>
      </w:r>
    </w:p>
    <w:p w:rsidR="00AC52C9" w:rsidRPr="00DF769F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Tailles et calibres (en Gauges) variables selon le type d’injection, la morphologie du patient et le produit à administrer</w:t>
      </w:r>
    </w:p>
    <w:p w:rsidR="00AC52C9" w:rsidRPr="00DF769F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Trocart / Transfert = gros calibre pour les préparations (blanche 16G, rose 18G)</w:t>
      </w:r>
    </w:p>
    <w:p w:rsidR="00AC52C9" w:rsidRPr="00DF769F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IM = longue à biseau long (verte 21G)</w:t>
      </w:r>
    </w:p>
    <w:p w:rsidR="00AC52C9" w:rsidRPr="00DF769F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IV = longue à biseau court (bleue 23G)</w:t>
      </w:r>
    </w:p>
    <w:p w:rsidR="00AC52C9" w:rsidRPr="00DF769F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SC = courte à biseau long (orange 25G)</w:t>
      </w:r>
    </w:p>
    <w:p w:rsidR="00AC52C9" w:rsidRPr="00DF769F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ID = très courte, fine, à biseau court (jaune 30G)</w:t>
      </w:r>
    </w:p>
    <w:p w:rsidR="00AC52C9" w:rsidRPr="00C425E6" w:rsidRDefault="00AC52C9" w:rsidP="00C425E6">
      <w:pPr>
        <w:pStyle w:val="Paragraphedeliste"/>
        <w:numPr>
          <w:ilvl w:val="0"/>
          <w:numId w:val="38"/>
        </w:numPr>
        <w:spacing w:after="0"/>
        <w:rPr>
          <w:rFonts w:ascii="Comic Sans MS" w:hAnsi="Comic Sans MS"/>
          <w:noProof/>
        </w:rPr>
      </w:pPr>
      <w:r w:rsidRPr="00DF769F">
        <w:rPr>
          <w:rFonts w:ascii="Comic Sans MS" w:hAnsi="Comic Sans MS"/>
          <w:noProof/>
        </w:rPr>
        <w:t>Prélèvement IV = moyenne (jaune 20G, crème 19G)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2"/>
        <w:gridCol w:w="5989"/>
      </w:tblGrid>
      <w:tr w:rsidR="00CB3128" w:rsidTr="00DF769F">
        <w:trPr>
          <w:jc w:val="center"/>
        </w:trPr>
        <w:tc>
          <w:tcPr>
            <w:tcW w:w="4503" w:type="dxa"/>
          </w:tcPr>
          <w:p w:rsidR="00CB3128" w:rsidRPr="00AC52C9" w:rsidRDefault="00CB3128" w:rsidP="00DF769F">
            <w:pPr>
              <w:rPr>
                <w:rFonts w:ascii="Comic Sans MS" w:hAnsi="Comic Sans MS"/>
                <w:noProof/>
              </w:rPr>
            </w:pPr>
            <w:r w:rsidRPr="00AC52C9">
              <w:rPr>
                <w:rFonts w:ascii="Comic Sans MS" w:hAnsi="Comic Sans MS"/>
                <w:noProof/>
              </w:rPr>
              <w:t>4/ Préparation d’une injection</w:t>
            </w:r>
          </w:p>
          <w:p w:rsidR="00CB3128" w:rsidRPr="00AC52C9" w:rsidRDefault="00CB3128" w:rsidP="00DF769F">
            <w:pPr>
              <w:rPr>
                <w:rFonts w:ascii="Comic Sans MS" w:hAnsi="Comic Sans MS"/>
                <w:noProof/>
              </w:rPr>
            </w:pP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0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Monter un trocart sur une seringue en gardant les emballages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0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 xml:space="preserve">Préalable : vérifier la prescription, l'intégrité et les dates de péremptions du matériel utilisé 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0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Effectuer votre calcul de dose si besoin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0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Attention à la manipulation !</w:t>
            </w:r>
          </w:p>
        </w:tc>
        <w:tc>
          <w:tcPr>
            <w:tcW w:w="5842" w:type="dxa"/>
            <w:vAlign w:val="center"/>
          </w:tcPr>
          <w:p w:rsidR="00CB3128" w:rsidRDefault="00CB3128" w:rsidP="00CB3128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inline distT="0" distB="0" distL="0" distR="0" wp14:anchorId="42DF3E9E" wp14:editId="09720A3E">
                  <wp:extent cx="3666056" cy="1802921"/>
                  <wp:effectExtent l="0" t="0" r="0" b="0"/>
                  <wp:docPr id="14" name="Image 14" descr="préparation injection technique infirm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réparation injection technique infirm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6302" cy="1803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52C9" w:rsidRDefault="00AC52C9" w:rsidP="00AC52C9">
      <w:pPr>
        <w:spacing w:after="0" w:line="260" w:lineRule="exact"/>
        <w:rPr>
          <w:rFonts w:ascii="Comic Sans MS" w:hAnsi="Comic Sans MS"/>
          <w:noProof/>
        </w:rPr>
      </w:pPr>
    </w:p>
    <w:p w:rsidR="00AC52C9" w:rsidRDefault="00AC52C9" w:rsidP="00AC52C9">
      <w:pPr>
        <w:spacing w:after="0" w:line="260" w:lineRule="exact"/>
        <w:rPr>
          <w:rFonts w:ascii="Comic Sans MS" w:hAnsi="Comic Sans MS"/>
          <w:noProof/>
        </w:rPr>
      </w:pPr>
    </w:p>
    <w:p w:rsidR="00AC52C9" w:rsidRDefault="00AC52C9" w:rsidP="00AC52C9">
      <w:pPr>
        <w:spacing w:after="0" w:line="260" w:lineRule="exact"/>
        <w:rPr>
          <w:rFonts w:ascii="Comic Sans MS" w:hAnsi="Comic Sans MS"/>
          <w:noProof/>
        </w:rPr>
      </w:pPr>
    </w:p>
    <w:tbl>
      <w:tblPr>
        <w:tblStyle w:val="Grilledutableau"/>
        <w:tblW w:w="106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324"/>
        <w:gridCol w:w="2640"/>
        <w:gridCol w:w="2571"/>
        <w:gridCol w:w="76"/>
      </w:tblGrid>
      <w:tr w:rsidR="00CB3128" w:rsidTr="00C425E6">
        <w:trPr>
          <w:gridAfter w:val="1"/>
          <w:wAfter w:w="76" w:type="dxa"/>
          <w:jc w:val="center"/>
        </w:trPr>
        <w:tc>
          <w:tcPr>
            <w:tcW w:w="5046" w:type="dxa"/>
          </w:tcPr>
          <w:p w:rsidR="00CB3128" w:rsidRPr="00190E62" w:rsidRDefault="00CB3128" w:rsidP="00C425E6">
            <w:pPr>
              <w:rPr>
                <w:rFonts w:ascii="Comic Sans MS" w:hAnsi="Comic Sans MS"/>
                <w:noProof/>
              </w:rPr>
            </w:pPr>
            <w:r w:rsidRPr="00190E62">
              <w:rPr>
                <w:rFonts w:ascii="Comic Sans MS" w:hAnsi="Comic Sans MS"/>
                <w:noProof/>
              </w:rPr>
              <w:t>A partir d’une solution :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1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Désinfecter le col de l’ampoule et la casser avec la compresse (alcool ou solution alcoolique)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1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Insérer l’aiguille dans l’ampoule et aspirer la totalité de la solution biseau vers le bas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1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Purger l’air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1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Vérifier la quantité prélevée</w:t>
            </w:r>
          </w:p>
          <w:p w:rsidR="00CB3128" w:rsidRPr="00C425E6" w:rsidRDefault="00CB3128" w:rsidP="00C425E6">
            <w:pPr>
              <w:pStyle w:val="Paragraphedeliste"/>
              <w:numPr>
                <w:ilvl w:val="0"/>
                <w:numId w:val="41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Désadapter le trocart (élimination immédiate) et adapter l’aiguille nécessaire à l’injection</w:t>
            </w:r>
          </w:p>
        </w:tc>
        <w:tc>
          <w:tcPr>
            <w:tcW w:w="5535" w:type="dxa"/>
            <w:gridSpan w:val="3"/>
            <w:vAlign w:val="center"/>
          </w:tcPr>
          <w:p w:rsidR="00CB3128" w:rsidRDefault="00CB3128" w:rsidP="00CB3128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inline distT="0" distB="0" distL="0" distR="0" wp14:anchorId="63340247" wp14:editId="5D4853A7">
                  <wp:extent cx="3096747" cy="2242868"/>
                  <wp:effectExtent l="0" t="0" r="0" b="0"/>
                  <wp:docPr id="15" name="Image 15" descr="https://1.bp.blogspot.com/-HTWoUY1J1WQ/VBFpSlFbOlI/AAAAAAAAQGE/OBrLR_Kktt0/s160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1.bp.blogspot.com/-HTWoUY1J1WQ/VBFpSlFbOlI/AAAAAAAAQGE/OBrLR_Kktt0/s160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927" cy="2242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128" w:rsidTr="00C425E6">
        <w:trPr>
          <w:jc w:val="center"/>
        </w:trPr>
        <w:tc>
          <w:tcPr>
            <w:tcW w:w="5370" w:type="dxa"/>
            <w:gridSpan w:val="2"/>
            <w:vAlign w:val="center"/>
          </w:tcPr>
          <w:p w:rsidR="009F1667" w:rsidRPr="00190E62" w:rsidRDefault="009F1667" w:rsidP="009F1667">
            <w:pPr>
              <w:rPr>
                <w:rFonts w:ascii="Comic Sans MS" w:hAnsi="Comic Sans MS"/>
                <w:noProof/>
              </w:rPr>
            </w:pPr>
            <w:r w:rsidRPr="00190E62">
              <w:rPr>
                <w:rFonts w:ascii="Comic Sans MS" w:hAnsi="Comic Sans MS"/>
                <w:noProof/>
              </w:rPr>
              <w:t>A partir d’une poudre :</w:t>
            </w:r>
          </w:p>
          <w:p w:rsidR="009F1667" w:rsidRPr="00C425E6" w:rsidRDefault="009F1667" w:rsidP="00C425E6">
            <w:pPr>
              <w:pStyle w:val="Paragraphedeliste"/>
              <w:numPr>
                <w:ilvl w:val="0"/>
                <w:numId w:val="42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Choisir le solvant adapté à la poudre</w:t>
            </w:r>
          </w:p>
          <w:p w:rsidR="009F1667" w:rsidRPr="00C425E6" w:rsidRDefault="009F1667" w:rsidP="00C425E6">
            <w:pPr>
              <w:pStyle w:val="Paragraphedeliste"/>
              <w:numPr>
                <w:ilvl w:val="0"/>
                <w:numId w:val="42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Désinfection de l’opercule du flacon de poudre et laisser une compresse imbibée dessus (alcool ou solution alcoolique)</w:t>
            </w:r>
          </w:p>
          <w:p w:rsidR="009F1667" w:rsidRPr="00C425E6" w:rsidRDefault="009F1667" w:rsidP="00C425E6">
            <w:pPr>
              <w:pStyle w:val="Paragraphedeliste"/>
              <w:numPr>
                <w:ilvl w:val="0"/>
                <w:numId w:val="42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Prélever la quantité de solvant nécessaire</w:t>
            </w:r>
          </w:p>
          <w:p w:rsidR="00CB3128" w:rsidRPr="00C425E6" w:rsidRDefault="009F1667" w:rsidP="00C425E6">
            <w:pPr>
              <w:pStyle w:val="Paragraphedeliste"/>
              <w:numPr>
                <w:ilvl w:val="0"/>
                <w:numId w:val="42"/>
              </w:numPr>
              <w:rPr>
                <w:rFonts w:ascii="Comic Sans MS" w:hAnsi="Comic Sans MS"/>
                <w:noProof/>
              </w:rPr>
            </w:pPr>
            <w:r w:rsidRPr="00C425E6">
              <w:rPr>
                <w:rFonts w:ascii="Comic Sans MS" w:hAnsi="Comic Sans MS"/>
                <w:noProof/>
              </w:rPr>
              <w:t>Percer l’opercule en caoutchouc, injecter le solvant</w:t>
            </w:r>
          </w:p>
        </w:tc>
        <w:tc>
          <w:tcPr>
            <w:tcW w:w="5287" w:type="dxa"/>
            <w:gridSpan w:val="3"/>
            <w:vAlign w:val="center"/>
          </w:tcPr>
          <w:p w:rsidR="00CB3128" w:rsidRDefault="009F1667" w:rsidP="009F1667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inline distT="0" distB="0" distL="0" distR="0" wp14:anchorId="26E65708" wp14:editId="6DA58979">
                  <wp:extent cx="3217653" cy="1457701"/>
                  <wp:effectExtent l="0" t="0" r="0" b="0"/>
                  <wp:docPr id="16" name="Image 16" descr="préparation injection seringue infirm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préparation injection seringue infirm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937" cy="145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667" w:rsidTr="00C425E6">
        <w:trPr>
          <w:jc w:val="center"/>
        </w:trPr>
        <w:tc>
          <w:tcPr>
            <w:tcW w:w="5370" w:type="dxa"/>
            <w:gridSpan w:val="2"/>
            <w:vMerge w:val="restart"/>
            <w:vAlign w:val="center"/>
          </w:tcPr>
          <w:p w:rsidR="009F1667" w:rsidRDefault="009F1667" w:rsidP="009F1667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inline distT="0" distB="0" distL="0" distR="0" wp14:anchorId="71292457" wp14:editId="52640754">
                  <wp:extent cx="3114135" cy="2260121"/>
                  <wp:effectExtent l="0" t="0" r="0" b="0"/>
                  <wp:docPr id="17" name="Image 17" descr="préparation injection seringue infirm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réparation injection seringue infirm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410" cy="226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7" w:type="dxa"/>
            <w:gridSpan w:val="3"/>
            <w:vAlign w:val="center"/>
          </w:tcPr>
          <w:p w:rsidR="009F1667" w:rsidRDefault="009F1667" w:rsidP="009F1667">
            <w:pPr>
              <w:spacing w:line="260" w:lineRule="exact"/>
              <w:rPr>
                <w:rFonts w:ascii="Comic Sans MS" w:hAnsi="Comic Sans MS"/>
                <w:noProof/>
              </w:rPr>
            </w:pPr>
          </w:p>
        </w:tc>
      </w:tr>
      <w:tr w:rsidR="009F1667" w:rsidTr="00C425E6">
        <w:trPr>
          <w:jc w:val="center"/>
        </w:trPr>
        <w:tc>
          <w:tcPr>
            <w:tcW w:w="5370" w:type="dxa"/>
            <w:gridSpan w:val="2"/>
            <w:vMerge/>
            <w:vAlign w:val="center"/>
          </w:tcPr>
          <w:p w:rsidR="009F1667" w:rsidRDefault="009F1667" w:rsidP="009F1667">
            <w:pPr>
              <w:jc w:val="center"/>
              <w:rPr>
                <w:rFonts w:ascii="Comic Sans MS" w:hAnsi="Comic Sans MS"/>
                <w:noProof/>
              </w:rPr>
            </w:pPr>
          </w:p>
        </w:tc>
        <w:tc>
          <w:tcPr>
            <w:tcW w:w="2640" w:type="dxa"/>
            <w:vAlign w:val="center"/>
          </w:tcPr>
          <w:p w:rsidR="009F1667" w:rsidRPr="00474A77" w:rsidRDefault="009F1667" w:rsidP="00474A77">
            <w:pPr>
              <w:pStyle w:val="Paragraphedeliste"/>
              <w:numPr>
                <w:ilvl w:val="0"/>
                <w:numId w:val="43"/>
              </w:numPr>
              <w:spacing w:line="260" w:lineRule="exact"/>
              <w:rPr>
                <w:rFonts w:ascii="Comic Sans MS" w:hAnsi="Comic Sans MS"/>
                <w:noProof/>
              </w:rPr>
            </w:pPr>
            <w:r w:rsidRPr="00474A77">
              <w:rPr>
                <w:rFonts w:ascii="Comic Sans MS" w:hAnsi="Comic Sans MS"/>
                <w:noProof/>
              </w:rPr>
              <w:t>Dissoudre la poudre en gardant l’aiguille dans le flacon</w:t>
            </w:r>
          </w:p>
          <w:p w:rsidR="009F1667" w:rsidRPr="00474A77" w:rsidRDefault="009F1667" w:rsidP="00474A77">
            <w:pPr>
              <w:pStyle w:val="Paragraphedeliste"/>
              <w:numPr>
                <w:ilvl w:val="0"/>
                <w:numId w:val="43"/>
              </w:numPr>
              <w:spacing w:line="260" w:lineRule="exact"/>
              <w:rPr>
                <w:rFonts w:ascii="Comic Sans MS" w:hAnsi="Comic Sans MS"/>
                <w:noProof/>
              </w:rPr>
            </w:pPr>
            <w:r w:rsidRPr="00474A77">
              <w:rPr>
                <w:rFonts w:ascii="Comic Sans MS" w:hAnsi="Comic Sans MS"/>
                <w:noProof/>
              </w:rPr>
              <w:t xml:space="preserve">Ré aspirer le produit une fois que la solution est homogène </w:t>
            </w:r>
          </w:p>
          <w:p w:rsidR="009F1667" w:rsidRPr="00474A77" w:rsidRDefault="009F1667" w:rsidP="00474A77">
            <w:pPr>
              <w:pStyle w:val="Paragraphedeliste"/>
              <w:numPr>
                <w:ilvl w:val="0"/>
                <w:numId w:val="43"/>
              </w:numPr>
              <w:spacing w:line="260" w:lineRule="exact"/>
              <w:rPr>
                <w:rFonts w:ascii="Comic Sans MS" w:hAnsi="Comic Sans MS"/>
                <w:noProof/>
              </w:rPr>
            </w:pPr>
            <w:r w:rsidRPr="00474A77">
              <w:rPr>
                <w:rFonts w:ascii="Comic Sans MS" w:hAnsi="Comic Sans MS"/>
                <w:noProof/>
              </w:rPr>
              <w:t>Purger l’air</w:t>
            </w:r>
          </w:p>
          <w:p w:rsidR="009F1667" w:rsidRPr="00474A77" w:rsidRDefault="009F1667" w:rsidP="00474A77">
            <w:pPr>
              <w:pStyle w:val="Paragraphedeliste"/>
              <w:numPr>
                <w:ilvl w:val="0"/>
                <w:numId w:val="43"/>
              </w:numPr>
              <w:spacing w:line="260" w:lineRule="exact"/>
              <w:rPr>
                <w:rFonts w:ascii="Comic Sans MS" w:hAnsi="Comic Sans MS"/>
                <w:noProof/>
              </w:rPr>
            </w:pPr>
            <w:r w:rsidRPr="00474A77">
              <w:rPr>
                <w:rFonts w:ascii="Comic Sans MS" w:hAnsi="Comic Sans MS"/>
                <w:noProof/>
              </w:rPr>
              <w:t>Vérifier la quantité prélevée</w:t>
            </w:r>
          </w:p>
        </w:tc>
        <w:tc>
          <w:tcPr>
            <w:tcW w:w="2647" w:type="dxa"/>
            <w:gridSpan w:val="2"/>
            <w:vAlign w:val="center"/>
          </w:tcPr>
          <w:p w:rsidR="009F1667" w:rsidRDefault="009F1667" w:rsidP="009F1667">
            <w:pPr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inline distT="0" distB="0" distL="0" distR="0" wp14:anchorId="5C851EA5" wp14:editId="79F57C66">
                  <wp:extent cx="1544128" cy="1915064"/>
                  <wp:effectExtent l="0" t="0" r="0" b="0"/>
                  <wp:docPr id="18" name="Image 18" descr="préparation seringue injection purger infirmi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réparation seringue injection purger infirmi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934" cy="1914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0E62" w:rsidRDefault="00190E62" w:rsidP="00190E62">
      <w:pPr>
        <w:spacing w:after="0" w:line="260" w:lineRule="exact"/>
        <w:rPr>
          <w:rFonts w:ascii="Comic Sans MS" w:hAnsi="Comic Sans MS"/>
          <w:noProof/>
        </w:rPr>
      </w:pPr>
    </w:p>
    <w:p w:rsidR="00B00B86" w:rsidRPr="00B00B86" w:rsidRDefault="00B00B86" w:rsidP="00B00B86">
      <w:pPr>
        <w:spacing w:after="0" w:line="260" w:lineRule="exact"/>
        <w:rPr>
          <w:rFonts w:ascii="Comic Sans MS" w:hAnsi="Comic Sans MS" w:cs="TheSans-Plain"/>
        </w:rPr>
      </w:pPr>
      <w:r w:rsidRPr="00B00B86">
        <w:rPr>
          <w:rFonts w:ascii="Comic Sans MS" w:hAnsi="Comic Sans MS" w:cs="TheSans-Plain"/>
        </w:rPr>
        <w:t>Désadapter le trocart (élimination immédiate) et adapter l’aiguille nécessaire à l’injection</w:t>
      </w:r>
    </w:p>
    <w:p w:rsidR="00B00B86" w:rsidRPr="00B00B86" w:rsidRDefault="00B00B86" w:rsidP="00B00B86">
      <w:pPr>
        <w:spacing w:after="0" w:line="260" w:lineRule="exact"/>
        <w:rPr>
          <w:rFonts w:ascii="Comic Sans MS" w:hAnsi="Comic Sans MS" w:cs="TheSans-Plain"/>
        </w:rPr>
      </w:pPr>
    </w:p>
    <w:p w:rsidR="00B00B86" w:rsidRPr="00B00B86" w:rsidRDefault="00B00B86" w:rsidP="00C42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exact"/>
        <w:rPr>
          <w:rFonts w:ascii="Comic Sans MS" w:hAnsi="Comic Sans MS" w:cs="TheSans-Plain"/>
        </w:rPr>
      </w:pPr>
      <w:r w:rsidRPr="00B00B86">
        <w:rPr>
          <w:rFonts w:ascii="Comic Sans MS" w:hAnsi="Comic Sans MS" w:cs="TheSans-Plain"/>
        </w:rPr>
        <w:t>NB : Le produit est préparé et admini</w:t>
      </w:r>
      <w:r w:rsidR="009F1667">
        <w:rPr>
          <w:rFonts w:ascii="Comic Sans MS" w:hAnsi="Comic Sans MS" w:cs="TheSans-Plain"/>
        </w:rPr>
        <w:t>stré rapidement</w:t>
      </w:r>
      <w:r w:rsidRPr="00B00B86">
        <w:rPr>
          <w:rFonts w:ascii="Comic Sans MS" w:hAnsi="Comic Sans MS" w:cs="TheSans-Plain"/>
        </w:rPr>
        <w:t>!</w:t>
      </w:r>
      <w:r w:rsidR="00C425E6">
        <w:rPr>
          <w:rFonts w:ascii="Comic Sans MS" w:hAnsi="Comic Sans MS" w:cs="TheSans-Plain"/>
        </w:rPr>
        <w:t xml:space="preserve"> </w:t>
      </w:r>
      <w:r w:rsidRPr="00B00B86">
        <w:rPr>
          <w:rFonts w:ascii="Comic Sans MS" w:hAnsi="Comic Sans MS" w:cs="TheSans-Plain"/>
        </w:rPr>
        <w:t>Ne jamais recapuchonner une aiguille !</w:t>
      </w:r>
    </w:p>
    <w:p w:rsidR="00B00B86" w:rsidRPr="00B00B86" w:rsidRDefault="00B00B86" w:rsidP="00B00B86">
      <w:pPr>
        <w:spacing w:after="0" w:line="260" w:lineRule="exact"/>
        <w:rPr>
          <w:rFonts w:ascii="Comic Sans MS" w:hAnsi="Comic Sans MS" w:cs="TheSans-Plain"/>
        </w:rPr>
      </w:pPr>
    </w:p>
    <w:p w:rsidR="00B00B86" w:rsidRPr="00B00B86" w:rsidRDefault="00B00B86" w:rsidP="00B00B86">
      <w:pPr>
        <w:spacing w:after="0" w:line="260" w:lineRule="exact"/>
        <w:rPr>
          <w:rFonts w:ascii="Comic Sans MS" w:hAnsi="Comic Sans MS" w:cs="TheSans-Plain"/>
        </w:rPr>
      </w:pPr>
      <w:r w:rsidRPr="00B00B86">
        <w:rPr>
          <w:rFonts w:ascii="Comic Sans MS" w:hAnsi="Comic Sans MS" w:cs="TheSans-Plain"/>
        </w:rPr>
        <w:t>5/ Complications liées aux injections</w:t>
      </w:r>
    </w:p>
    <w:p w:rsidR="00B00B86" w:rsidRPr="00B00B86" w:rsidRDefault="00B00B86" w:rsidP="00B00B86">
      <w:pPr>
        <w:spacing w:after="0" w:line="260" w:lineRule="exact"/>
        <w:rPr>
          <w:rFonts w:ascii="Comic Sans MS" w:hAnsi="Comic Sans MS" w:cs="TheSans-Plain"/>
        </w:rPr>
      </w:pPr>
    </w:p>
    <w:p w:rsidR="00B00B86" w:rsidRPr="00C425E6" w:rsidRDefault="00B00B86" w:rsidP="00C425E6">
      <w:pPr>
        <w:pStyle w:val="Paragraphedeliste"/>
        <w:numPr>
          <w:ilvl w:val="0"/>
          <w:numId w:val="39"/>
        </w:numPr>
        <w:spacing w:after="0"/>
        <w:rPr>
          <w:rFonts w:ascii="Comic Sans MS" w:hAnsi="Comic Sans MS" w:cs="TheSans-Plain"/>
        </w:rPr>
      </w:pPr>
      <w:r w:rsidRPr="00C425E6">
        <w:rPr>
          <w:rFonts w:ascii="Comic Sans MS" w:hAnsi="Comic Sans MS" w:cs="TheSans-Plain"/>
        </w:rPr>
        <w:t>Douleur, induration, inflammation, hématome au point de ponction</w:t>
      </w:r>
    </w:p>
    <w:p w:rsidR="00B00B86" w:rsidRPr="00C425E6" w:rsidRDefault="00B00B86" w:rsidP="00C425E6">
      <w:pPr>
        <w:pStyle w:val="Paragraphedeliste"/>
        <w:numPr>
          <w:ilvl w:val="0"/>
          <w:numId w:val="39"/>
        </w:numPr>
        <w:spacing w:after="0"/>
        <w:rPr>
          <w:rFonts w:ascii="Comic Sans MS" w:hAnsi="Comic Sans MS" w:cs="TheSans-Plain"/>
        </w:rPr>
      </w:pPr>
      <w:r w:rsidRPr="00C425E6">
        <w:rPr>
          <w:rFonts w:ascii="Comic Sans MS" w:hAnsi="Comic Sans MS" w:cs="TheSans-Plain"/>
        </w:rPr>
        <w:t>Extravasation (IV)</w:t>
      </w:r>
    </w:p>
    <w:p w:rsidR="00B00B86" w:rsidRPr="00C425E6" w:rsidRDefault="00B00B86" w:rsidP="00C425E6">
      <w:pPr>
        <w:pStyle w:val="Paragraphedeliste"/>
        <w:numPr>
          <w:ilvl w:val="0"/>
          <w:numId w:val="39"/>
        </w:numPr>
        <w:spacing w:after="0"/>
        <w:rPr>
          <w:rFonts w:ascii="Comic Sans MS" w:hAnsi="Comic Sans MS" w:cs="TheSans-Plain"/>
        </w:rPr>
      </w:pPr>
      <w:r w:rsidRPr="00C425E6">
        <w:rPr>
          <w:rFonts w:ascii="Comic Sans MS" w:hAnsi="Comic Sans MS" w:cs="TheSans-Plain"/>
        </w:rPr>
        <w:t>Nécrose selon le produit</w:t>
      </w:r>
    </w:p>
    <w:p w:rsidR="00AC52C9" w:rsidRPr="00C425E6" w:rsidRDefault="00B00B86" w:rsidP="00C425E6">
      <w:pPr>
        <w:pStyle w:val="Paragraphedeliste"/>
        <w:numPr>
          <w:ilvl w:val="0"/>
          <w:numId w:val="39"/>
        </w:numPr>
        <w:spacing w:after="0"/>
        <w:rPr>
          <w:rFonts w:ascii="Comic Sans MS" w:hAnsi="Comic Sans MS" w:cs="TheSans-Plain"/>
        </w:rPr>
      </w:pPr>
      <w:r w:rsidRPr="00C425E6">
        <w:rPr>
          <w:rFonts w:ascii="Comic Sans MS" w:hAnsi="Comic Sans MS" w:cs="TheSans-Plain"/>
        </w:rPr>
        <w:t>Accident d'exposition aux sang et liquides biologique</w:t>
      </w:r>
      <w:bookmarkStart w:id="0" w:name="_GoBack"/>
      <w:bookmarkEnd w:id="0"/>
      <w:r w:rsidRPr="00C425E6">
        <w:rPr>
          <w:rFonts w:ascii="Comic Sans MS" w:hAnsi="Comic Sans MS" w:cs="TheSans-Plain"/>
        </w:rPr>
        <w:t>s ! AES !</w:t>
      </w:r>
    </w:p>
    <w:sectPr w:rsidR="00AC52C9" w:rsidRPr="00C425E6" w:rsidSect="002833BD">
      <w:headerReference w:type="default" r:id="rId20"/>
      <w:pgSz w:w="11906" w:h="16838"/>
      <w:pgMar w:top="567" w:right="567" w:bottom="567" w:left="1134" w:header="851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A5" w:rsidRDefault="004326A5" w:rsidP="000F2682">
      <w:pPr>
        <w:spacing w:after="0" w:line="240" w:lineRule="auto"/>
      </w:pPr>
      <w:r>
        <w:separator/>
      </w:r>
    </w:p>
  </w:endnote>
  <w:endnote w:type="continuationSeparator" w:id="0">
    <w:p w:rsidR="004326A5" w:rsidRDefault="004326A5" w:rsidP="000F2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heSans-Plai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A5" w:rsidRDefault="004326A5" w:rsidP="000F2682">
      <w:pPr>
        <w:spacing w:after="0" w:line="240" w:lineRule="auto"/>
      </w:pPr>
      <w:r>
        <w:separator/>
      </w:r>
    </w:p>
  </w:footnote>
  <w:footnote w:type="continuationSeparator" w:id="0">
    <w:p w:rsidR="004326A5" w:rsidRDefault="004326A5" w:rsidP="000F2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682" w:rsidRDefault="004326A5">
    <w:pPr>
      <w:pStyle w:val="En-tte"/>
    </w:pPr>
    <w:r>
      <w:rPr>
        <w:noProof/>
      </w:rPr>
      <w:pict>
        <v:roundrect id="_x0000_s2057" style="position:absolute;margin-left:6.35pt;margin-top:-25.55pt;width:148.5pt;height:39.85pt;z-index:251661312" arcsize="10923f" strokeweight="1.5pt">
          <v:textbox style="mso-next-textbox:#_x0000_s2057">
            <w:txbxContent>
              <w:p w:rsidR="00883172" w:rsidRPr="008C10B4" w:rsidRDefault="00601079" w:rsidP="00A4582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>
                  <w:rPr>
                    <w:b/>
                    <w:bCs/>
                    <w:sz w:val="16"/>
                    <w:szCs w:val="16"/>
                  </w:rPr>
                  <w:t>TP/SOINS INFIRMIERS</w:t>
                </w:r>
              </w:p>
              <w:p w:rsidR="00883172" w:rsidRPr="008C10B4" w:rsidRDefault="00883172" w:rsidP="00A4582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CLASSE : ISP 1°A</w:t>
                </w:r>
              </w:p>
              <w:p w:rsidR="00883172" w:rsidRPr="008C10B4" w:rsidRDefault="00883172" w:rsidP="00A45824">
                <w:pPr>
                  <w:pStyle w:val="Paragraphedeliste"/>
                  <w:numPr>
                    <w:ilvl w:val="0"/>
                    <w:numId w:val="1"/>
                  </w:numPr>
                  <w:spacing w:after="0" w:line="240" w:lineRule="auto"/>
                  <w:ind w:left="714" w:hanging="357"/>
                  <w:rPr>
                    <w:b/>
                    <w:bCs/>
                    <w:sz w:val="16"/>
                    <w:szCs w:val="16"/>
                  </w:rPr>
                </w:pPr>
                <w:r w:rsidRPr="008C10B4">
                  <w:rPr>
                    <w:b/>
                    <w:bCs/>
                    <w:sz w:val="16"/>
                    <w:szCs w:val="16"/>
                  </w:rPr>
                  <w:t>PROFESSEUR : Mr.</w:t>
                </w:r>
                <w:r w:rsidR="00601079">
                  <w:rPr>
                    <w:b/>
                    <w:bCs/>
                    <w:sz w:val="16"/>
                    <w:szCs w:val="16"/>
                  </w:rPr>
                  <w:t xml:space="preserve"> </w:t>
                </w:r>
                <w:r w:rsidRPr="008C10B4">
                  <w:rPr>
                    <w:b/>
                    <w:bCs/>
                    <w:sz w:val="16"/>
                    <w:szCs w:val="16"/>
                  </w:rPr>
                  <w:t>DJAFFAR</w:t>
                </w:r>
              </w:p>
            </w:txbxContent>
          </v:textbox>
        </v:roundrect>
      </w:pict>
    </w:r>
    <w:sdt>
      <w:sdtPr>
        <w:id w:val="3561939"/>
        <w:docPartObj>
          <w:docPartGallery w:val="Page Numbers (Margins)"/>
          <w:docPartUnique/>
        </w:docPartObj>
      </w:sdtPr>
      <w:sdtEndPr/>
      <w:sdtContent>
        <w:r>
          <w:rPr>
            <w:noProof/>
            <w:lang w:eastAsia="zh-TW"/>
          </w:rPr>
          <w:pict>
            <v:oval id="_x0000_s2053" style="position:absolute;margin-left:0;margin-top:219.2pt;width:37.6pt;height:37.6pt;z-index:251660288;mso-top-percent:250;mso-position-horizontal:center;mso-position-horizontal-relative:left-margin-area;mso-position-vertical-relative:page;mso-top-percent:250" o:allowincell="f" fillcolor="white [3212]" strokecolor="black [3213]" strokeweight="1pt">
              <v:textbox style="mso-next-textbox:#_x0000_s2053" inset="0,,0">
                <w:txbxContent>
                  <w:p w:rsidR="000F2682" w:rsidRPr="00601079" w:rsidRDefault="00073212">
                    <w:pPr>
                      <w:jc w:val="right"/>
                      <w:rPr>
                        <w:rStyle w:val="Numrodepage"/>
                        <w:bCs/>
                      </w:rPr>
                    </w:pPr>
                    <w:r w:rsidRPr="00601079">
                      <w:rPr>
                        <w:bCs/>
                      </w:rPr>
                      <w:fldChar w:fldCharType="begin"/>
                    </w:r>
                    <w:r w:rsidR="000F2682" w:rsidRPr="00601079">
                      <w:rPr>
                        <w:bCs/>
                      </w:rPr>
                      <w:instrText xml:space="preserve"> PAGE    \* MERGEFORMAT </w:instrText>
                    </w:r>
                    <w:r w:rsidRPr="00601079">
                      <w:rPr>
                        <w:bCs/>
                      </w:rPr>
                      <w:fldChar w:fldCharType="separate"/>
                    </w:r>
                    <w:r w:rsidR="00474A77" w:rsidRPr="00474A77">
                      <w:rPr>
                        <w:rStyle w:val="Numrodepage"/>
                        <w:noProof/>
                      </w:rPr>
                      <w:t>2</w:t>
                    </w:r>
                    <w:r w:rsidRPr="00601079">
                      <w:rPr>
                        <w:bCs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634"/>
    <w:multiLevelType w:val="hybridMultilevel"/>
    <w:tmpl w:val="0D0038D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C3660C"/>
    <w:multiLevelType w:val="hybridMultilevel"/>
    <w:tmpl w:val="6B504EA6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89131D"/>
    <w:multiLevelType w:val="hybridMultilevel"/>
    <w:tmpl w:val="DE7CFFD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E20D6"/>
    <w:multiLevelType w:val="hybridMultilevel"/>
    <w:tmpl w:val="E696C6A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70B06"/>
    <w:multiLevelType w:val="hybridMultilevel"/>
    <w:tmpl w:val="3F364EF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00E70"/>
    <w:multiLevelType w:val="hybridMultilevel"/>
    <w:tmpl w:val="2230182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EC7E7F"/>
    <w:multiLevelType w:val="hybridMultilevel"/>
    <w:tmpl w:val="26945D7A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5495445"/>
    <w:multiLevelType w:val="hybridMultilevel"/>
    <w:tmpl w:val="669AAA1A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69E606D"/>
    <w:multiLevelType w:val="hybridMultilevel"/>
    <w:tmpl w:val="12F48F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93796E"/>
    <w:multiLevelType w:val="hybridMultilevel"/>
    <w:tmpl w:val="91E818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975A20"/>
    <w:multiLevelType w:val="hybridMultilevel"/>
    <w:tmpl w:val="A9D26D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BC20F6A"/>
    <w:multiLevelType w:val="hybridMultilevel"/>
    <w:tmpl w:val="28AE197A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BD246D"/>
    <w:multiLevelType w:val="multilevel"/>
    <w:tmpl w:val="5BFAE9C6"/>
    <w:lvl w:ilvl="0">
      <w:start w:val="1"/>
      <w:numFmt w:val="bullet"/>
      <w:lvlText w:val="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174E32"/>
    <w:multiLevelType w:val="hybridMultilevel"/>
    <w:tmpl w:val="18C6E0A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1724F69"/>
    <w:multiLevelType w:val="hybridMultilevel"/>
    <w:tmpl w:val="760AEB5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641A73"/>
    <w:multiLevelType w:val="hybridMultilevel"/>
    <w:tmpl w:val="DC6A75E6"/>
    <w:lvl w:ilvl="0" w:tplc="040C000D">
      <w:start w:val="1"/>
      <w:numFmt w:val="bullet"/>
      <w:lvlText w:val=""/>
      <w:lvlJc w:val="left"/>
      <w:pPr>
        <w:ind w:left="4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16">
    <w:nsid w:val="26DC7864"/>
    <w:multiLevelType w:val="hybridMultilevel"/>
    <w:tmpl w:val="F2CC1724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DC1AB4"/>
    <w:multiLevelType w:val="hybridMultilevel"/>
    <w:tmpl w:val="2430AC92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7C0A46"/>
    <w:multiLevelType w:val="hybridMultilevel"/>
    <w:tmpl w:val="B5BECDC0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0F41CA"/>
    <w:multiLevelType w:val="hybridMultilevel"/>
    <w:tmpl w:val="6CB4A360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5804DD"/>
    <w:multiLevelType w:val="hybridMultilevel"/>
    <w:tmpl w:val="7A8A830C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34168B"/>
    <w:multiLevelType w:val="hybridMultilevel"/>
    <w:tmpl w:val="EA70635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4F30C0"/>
    <w:multiLevelType w:val="hybridMultilevel"/>
    <w:tmpl w:val="0882D924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D73267"/>
    <w:multiLevelType w:val="hybridMultilevel"/>
    <w:tmpl w:val="9934ECAE"/>
    <w:lvl w:ilvl="0" w:tplc="040C0005">
      <w:start w:val="1"/>
      <w:numFmt w:val="bullet"/>
      <w:lvlText w:val=""/>
      <w:lvlJc w:val="left"/>
      <w:pPr>
        <w:ind w:left="9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24">
    <w:nsid w:val="41E816F9"/>
    <w:multiLevelType w:val="hybridMultilevel"/>
    <w:tmpl w:val="0DF835DA"/>
    <w:lvl w:ilvl="0" w:tplc="040C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5">
    <w:nsid w:val="42E75B08"/>
    <w:multiLevelType w:val="hybridMultilevel"/>
    <w:tmpl w:val="F0B6081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1C2B"/>
    <w:multiLevelType w:val="hybridMultilevel"/>
    <w:tmpl w:val="CC8244D2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2B56FB"/>
    <w:multiLevelType w:val="hybridMultilevel"/>
    <w:tmpl w:val="2BB2962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9C310B"/>
    <w:multiLevelType w:val="hybridMultilevel"/>
    <w:tmpl w:val="3F02BCB8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CD7271"/>
    <w:multiLevelType w:val="hybridMultilevel"/>
    <w:tmpl w:val="3CEA6F9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7E1097"/>
    <w:multiLevelType w:val="hybridMultilevel"/>
    <w:tmpl w:val="32CE65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27504C"/>
    <w:multiLevelType w:val="hybridMultilevel"/>
    <w:tmpl w:val="58AADE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654377"/>
    <w:multiLevelType w:val="hybridMultilevel"/>
    <w:tmpl w:val="D21AB41C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9DD1B1F"/>
    <w:multiLevelType w:val="hybridMultilevel"/>
    <w:tmpl w:val="644C1A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D96C3A"/>
    <w:multiLevelType w:val="hybridMultilevel"/>
    <w:tmpl w:val="939AF80E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1866047"/>
    <w:multiLevelType w:val="hybridMultilevel"/>
    <w:tmpl w:val="B1E2B310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2FE4CE4"/>
    <w:multiLevelType w:val="multilevel"/>
    <w:tmpl w:val="C006295A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008000"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olor w:val="80008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/>
        <w:iCs/>
        <w:color w:val="0000FF"/>
        <w:sz w:val="24"/>
        <w:szCs w:val="24"/>
      </w:rPr>
    </w:lvl>
    <w:lvl w:ilvl="3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 w:val="0"/>
        <w:bCs w:val="0"/>
        <w:i w:val="0"/>
        <w:iCs w:val="0"/>
        <w:color w:val="FF6600"/>
        <w:sz w:val="24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color w:val="auto"/>
      </w:rPr>
    </w:lvl>
  </w:abstractNum>
  <w:abstractNum w:abstractNumId="37">
    <w:nsid w:val="75673CC2"/>
    <w:multiLevelType w:val="hybridMultilevel"/>
    <w:tmpl w:val="3EE65DB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A6F34B6"/>
    <w:multiLevelType w:val="hybridMultilevel"/>
    <w:tmpl w:val="D02E091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3C11E7"/>
    <w:multiLevelType w:val="hybridMultilevel"/>
    <w:tmpl w:val="F17CA2E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4434E"/>
    <w:multiLevelType w:val="hybridMultilevel"/>
    <w:tmpl w:val="A26CB9A2"/>
    <w:lvl w:ilvl="0" w:tplc="8346A2BE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483010"/>
    <w:multiLevelType w:val="hybridMultilevel"/>
    <w:tmpl w:val="15629996"/>
    <w:lvl w:ilvl="0" w:tplc="8346A2B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6"/>
  </w:num>
  <w:num w:numId="3">
    <w:abstractNumId w:val="31"/>
  </w:num>
  <w:num w:numId="4">
    <w:abstractNumId w:val="8"/>
  </w:num>
  <w:num w:numId="5">
    <w:abstractNumId w:val="33"/>
  </w:num>
  <w:num w:numId="6">
    <w:abstractNumId w:val="9"/>
  </w:num>
  <w:num w:numId="7">
    <w:abstractNumId w:val="38"/>
  </w:num>
  <w:num w:numId="8">
    <w:abstractNumId w:val="21"/>
  </w:num>
  <w:num w:numId="9">
    <w:abstractNumId w:val="10"/>
  </w:num>
  <w:num w:numId="10">
    <w:abstractNumId w:val="30"/>
  </w:num>
  <w:num w:numId="11">
    <w:abstractNumId w:val="0"/>
  </w:num>
  <w:num w:numId="12">
    <w:abstractNumId w:val="29"/>
  </w:num>
  <w:num w:numId="13">
    <w:abstractNumId w:val="5"/>
  </w:num>
  <w:num w:numId="14">
    <w:abstractNumId w:val="3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24"/>
  </w:num>
  <w:num w:numId="20">
    <w:abstractNumId w:val="2"/>
  </w:num>
  <w:num w:numId="21">
    <w:abstractNumId w:val="23"/>
  </w:num>
  <w:num w:numId="22">
    <w:abstractNumId w:val="17"/>
  </w:num>
  <w:num w:numId="23">
    <w:abstractNumId w:val="6"/>
  </w:num>
  <w:num w:numId="24">
    <w:abstractNumId w:val="35"/>
  </w:num>
  <w:num w:numId="25">
    <w:abstractNumId w:val="34"/>
  </w:num>
  <w:num w:numId="26">
    <w:abstractNumId w:val="1"/>
  </w:num>
  <w:num w:numId="27">
    <w:abstractNumId w:val="7"/>
  </w:num>
  <w:num w:numId="28">
    <w:abstractNumId w:val="26"/>
  </w:num>
  <w:num w:numId="29">
    <w:abstractNumId w:val="15"/>
  </w:num>
  <w:num w:numId="30">
    <w:abstractNumId w:val="20"/>
  </w:num>
  <w:num w:numId="31">
    <w:abstractNumId w:val="41"/>
  </w:num>
  <w:num w:numId="32">
    <w:abstractNumId w:val="22"/>
  </w:num>
  <w:num w:numId="33">
    <w:abstractNumId w:val="28"/>
  </w:num>
  <w:num w:numId="34">
    <w:abstractNumId w:val="16"/>
  </w:num>
  <w:num w:numId="35">
    <w:abstractNumId w:val="40"/>
  </w:num>
  <w:num w:numId="36">
    <w:abstractNumId w:val="18"/>
  </w:num>
  <w:num w:numId="37">
    <w:abstractNumId w:val="32"/>
  </w:num>
  <w:num w:numId="38">
    <w:abstractNumId w:val="19"/>
  </w:num>
  <w:num w:numId="39">
    <w:abstractNumId w:val="11"/>
  </w:num>
  <w:num w:numId="40">
    <w:abstractNumId w:val="25"/>
  </w:num>
  <w:num w:numId="41">
    <w:abstractNumId w:val="14"/>
  </w:num>
  <w:num w:numId="42">
    <w:abstractNumId w:val="27"/>
  </w:num>
  <w:num w:numId="43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2682"/>
    <w:rsid w:val="00034B80"/>
    <w:rsid w:val="00071F6B"/>
    <w:rsid w:val="00073212"/>
    <w:rsid w:val="000B61DE"/>
    <w:rsid w:val="000E7326"/>
    <w:rsid w:val="000F2682"/>
    <w:rsid w:val="000F4A8C"/>
    <w:rsid w:val="00181076"/>
    <w:rsid w:val="00190E62"/>
    <w:rsid w:val="001C5B9F"/>
    <w:rsid w:val="001E42A1"/>
    <w:rsid w:val="0022457B"/>
    <w:rsid w:val="00234B42"/>
    <w:rsid w:val="002833BD"/>
    <w:rsid w:val="00294EBF"/>
    <w:rsid w:val="002A0903"/>
    <w:rsid w:val="002A1AC3"/>
    <w:rsid w:val="002A5913"/>
    <w:rsid w:val="002B6D29"/>
    <w:rsid w:val="002C40D7"/>
    <w:rsid w:val="002E5120"/>
    <w:rsid w:val="00314BB1"/>
    <w:rsid w:val="003D3D8D"/>
    <w:rsid w:val="003F7A27"/>
    <w:rsid w:val="0042600A"/>
    <w:rsid w:val="004323A6"/>
    <w:rsid w:val="004326A5"/>
    <w:rsid w:val="004420DC"/>
    <w:rsid w:val="00455B50"/>
    <w:rsid w:val="00463873"/>
    <w:rsid w:val="00474A77"/>
    <w:rsid w:val="00477229"/>
    <w:rsid w:val="004F6BD6"/>
    <w:rsid w:val="004F7DAB"/>
    <w:rsid w:val="00527D3B"/>
    <w:rsid w:val="00561D49"/>
    <w:rsid w:val="005B02FA"/>
    <w:rsid w:val="00601079"/>
    <w:rsid w:val="00606A42"/>
    <w:rsid w:val="00624061"/>
    <w:rsid w:val="006451C2"/>
    <w:rsid w:val="006970CB"/>
    <w:rsid w:val="006B340F"/>
    <w:rsid w:val="00706461"/>
    <w:rsid w:val="00741029"/>
    <w:rsid w:val="007A2E91"/>
    <w:rsid w:val="00824E22"/>
    <w:rsid w:val="00830CDD"/>
    <w:rsid w:val="00840C10"/>
    <w:rsid w:val="00883172"/>
    <w:rsid w:val="00891EA4"/>
    <w:rsid w:val="008B3D1D"/>
    <w:rsid w:val="008C0A2C"/>
    <w:rsid w:val="008E0B4E"/>
    <w:rsid w:val="008E72C1"/>
    <w:rsid w:val="00905508"/>
    <w:rsid w:val="00920D7E"/>
    <w:rsid w:val="00952E95"/>
    <w:rsid w:val="009725BA"/>
    <w:rsid w:val="00993E37"/>
    <w:rsid w:val="009C609F"/>
    <w:rsid w:val="009D7FAA"/>
    <w:rsid w:val="009F1667"/>
    <w:rsid w:val="009F7F87"/>
    <w:rsid w:val="00A0312D"/>
    <w:rsid w:val="00A16BEA"/>
    <w:rsid w:val="00A45824"/>
    <w:rsid w:val="00A80C15"/>
    <w:rsid w:val="00AC294B"/>
    <w:rsid w:val="00AC52C9"/>
    <w:rsid w:val="00AD2799"/>
    <w:rsid w:val="00AF1952"/>
    <w:rsid w:val="00B00B86"/>
    <w:rsid w:val="00B27EF2"/>
    <w:rsid w:val="00C245F5"/>
    <w:rsid w:val="00C25230"/>
    <w:rsid w:val="00C425E6"/>
    <w:rsid w:val="00CB3128"/>
    <w:rsid w:val="00CC18AC"/>
    <w:rsid w:val="00CE1397"/>
    <w:rsid w:val="00D02D9F"/>
    <w:rsid w:val="00D919B6"/>
    <w:rsid w:val="00DA5550"/>
    <w:rsid w:val="00DE0DF5"/>
    <w:rsid w:val="00DE4C00"/>
    <w:rsid w:val="00DF769F"/>
    <w:rsid w:val="00E02057"/>
    <w:rsid w:val="00E022B7"/>
    <w:rsid w:val="00E11989"/>
    <w:rsid w:val="00E13D6E"/>
    <w:rsid w:val="00E2582B"/>
    <w:rsid w:val="00E27456"/>
    <w:rsid w:val="00E33902"/>
    <w:rsid w:val="00E43E5C"/>
    <w:rsid w:val="00E927CD"/>
    <w:rsid w:val="00EE195D"/>
    <w:rsid w:val="00EE6C84"/>
    <w:rsid w:val="00EF69E7"/>
    <w:rsid w:val="00EF7078"/>
    <w:rsid w:val="00F8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95D"/>
  </w:style>
  <w:style w:type="paragraph" w:styleId="Titre1">
    <w:name w:val="heading 1"/>
    <w:basedOn w:val="Normal"/>
    <w:link w:val="Titre1Car"/>
    <w:uiPriority w:val="9"/>
    <w:qFormat/>
    <w:rsid w:val="007064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F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2682"/>
  </w:style>
  <w:style w:type="paragraph" w:styleId="Pieddepage">
    <w:name w:val="footer"/>
    <w:basedOn w:val="Normal"/>
    <w:link w:val="PieddepageCar"/>
    <w:uiPriority w:val="99"/>
    <w:unhideWhenUsed/>
    <w:rsid w:val="000F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2682"/>
  </w:style>
  <w:style w:type="paragraph" w:styleId="Paragraphedeliste">
    <w:name w:val="List Paragraph"/>
    <w:basedOn w:val="Normal"/>
    <w:uiPriority w:val="34"/>
    <w:qFormat/>
    <w:rsid w:val="000F2682"/>
    <w:pPr>
      <w:ind w:left="720"/>
      <w:contextualSpacing/>
    </w:pPr>
  </w:style>
  <w:style w:type="character" w:styleId="Numrodepage">
    <w:name w:val="page number"/>
    <w:basedOn w:val="Policepardfaut"/>
    <w:uiPriority w:val="99"/>
    <w:unhideWhenUsed/>
    <w:rsid w:val="000F2682"/>
    <w:rPr>
      <w:rFonts w:eastAsiaTheme="minorEastAsia" w:cstheme="minorBidi"/>
      <w:bCs w:val="0"/>
      <w:iCs w:val="0"/>
      <w:szCs w:val="22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609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9D7FAA"/>
  </w:style>
  <w:style w:type="character" w:styleId="Lienhypertexte">
    <w:name w:val="Hyperlink"/>
    <w:basedOn w:val="Policepardfaut"/>
    <w:uiPriority w:val="99"/>
    <w:semiHidden/>
    <w:unhideWhenUsed/>
    <w:rsid w:val="002A090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A0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E274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uiPriority w:val="22"/>
    <w:qFormat/>
    <w:rsid w:val="00993E37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70646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itecrochet1">
    <w:name w:val="cite_crochet1"/>
    <w:basedOn w:val="Policepardfaut"/>
    <w:rsid w:val="006B340F"/>
    <w:rPr>
      <w:vanish/>
      <w:webHidden w:val="0"/>
      <w:specVanish w:val="0"/>
    </w:rPr>
  </w:style>
  <w:style w:type="character" w:customStyle="1" w:styleId="toctoggle">
    <w:name w:val="toctoggle"/>
    <w:basedOn w:val="Policepardfaut"/>
    <w:rsid w:val="006B340F"/>
  </w:style>
  <w:style w:type="character" w:customStyle="1" w:styleId="tocnumber">
    <w:name w:val="tocnumber"/>
    <w:basedOn w:val="Policepardfaut"/>
    <w:rsid w:val="006B340F"/>
  </w:style>
  <w:style w:type="character" w:customStyle="1" w:styleId="toctext">
    <w:name w:val="toctext"/>
    <w:basedOn w:val="Policepardfaut"/>
    <w:rsid w:val="006B340F"/>
  </w:style>
  <w:style w:type="character" w:customStyle="1" w:styleId="mw-headline">
    <w:name w:val="mw-headline"/>
    <w:basedOn w:val="Policepardfaut"/>
    <w:rsid w:val="006B340F"/>
  </w:style>
  <w:style w:type="character" w:customStyle="1" w:styleId="mw-editsection1">
    <w:name w:val="mw-editsection1"/>
    <w:basedOn w:val="Policepardfaut"/>
    <w:rsid w:val="006B340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5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55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94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404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05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7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5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2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83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AAAAAA"/>
                        <w:right w:val="none" w:sz="0" w:space="0" w:color="auto"/>
                      </w:divBdr>
                    </w:div>
                    <w:div w:id="56001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3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168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275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208148">
                      <w:marLeft w:val="480"/>
                      <w:marRight w:val="0"/>
                      <w:marTop w:val="0"/>
                      <w:marBottom w:val="168"/>
                      <w:divBdr>
                        <w:top w:val="single" w:sz="6" w:space="1" w:color="auto"/>
                        <w:left w:val="single" w:sz="2" w:space="3" w:color="auto"/>
                        <w:bottom w:val="single" w:sz="6" w:space="1" w:color="auto"/>
                        <w:right w:val="single" w:sz="2" w:space="0" w:color="auto"/>
                      </w:divBdr>
                    </w:div>
                    <w:div w:id="716130363">
                      <w:marLeft w:val="480"/>
                      <w:marRight w:val="0"/>
                      <w:marTop w:val="0"/>
                      <w:marBottom w:val="168"/>
                      <w:divBdr>
                        <w:top w:val="single" w:sz="6" w:space="1" w:color="auto"/>
                        <w:left w:val="single" w:sz="2" w:space="3" w:color="auto"/>
                        <w:bottom w:val="single" w:sz="6" w:space="1" w:color="auto"/>
                        <w:right w:val="single" w:sz="2" w:space="0" w:color="auto"/>
                      </w:divBdr>
                    </w:div>
                    <w:div w:id="489293177">
                      <w:marLeft w:val="480"/>
                      <w:marRight w:val="0"/>
                      <w:marTop w:val="0"/>
                      <w:marBottom w:val="168"/>
                      <w:divBdr>
                        <w:top w:val="single" w:sz="6" w:space="1" w:color="auto"/>
                        <w:left w:val="single" w:sz="2" w:space="3" w:color="auto"/>
                        <w:bottom w:val="single" w:sz="6" w:space="1" w:color="auto"/>
                        <w:right w:val="single" w:sz="2" w:space="0" w:color="auto"/>
                      </w:divBdr>
                    </w:div>
                    <w:div w:id="47068814">
                      <w:marLeft w:val="480"/>
                      <w:marRight w:val="0"/>
                      <w:marTop w:val="0"/>
                      <w:marBottom w:val="168"/>
                      <w:divBdr>
                        <w:top w:val="single" w:sz="6" w:space="1" w:color="auto"/>
                        <w:left w:val="single" w:sz="2" w:space="3" w:color="auto"/>
                        <w:bottom w:val="single" w:sz="6" w:space="1" w:color="auto"/>
                        <w:right w:val="single" w:sz="2" w:space="0" w:color="auto"/>
                      </w:divBdr>
                    </w:div>
                    <w:div w:id="1850755792">
                      <w:marLeft w:val="480"/>
                      <w:marRight w:val="0"/>
                      <w:marTop w:val="0"/>
                      <w:marBottom w:val="168"/>
                      <w:divBdr>
                        <w:top w:val="single" w:sz="6" w:space="1" w:color="auto"/>
                        <w:left w:val="single" w:sz="2" w:space="3" w:color="auto"/>
                        <w:bottom w:val="single" w:sz="6" w:space="1" w:color="auto"/>
                        <w:right w:val="single" w:sz="2" w:space="0" w:color="auto"/>
                      </w:divBdr>
                    </w:div>
                    <w:div w:id="18749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45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31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microsoft.com/office/2007/relationships/hdphoto" Target="media/hdphoto3.wdp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microsoft.com/office/2007/relationships/hdphoto" Target="media/hdphoto2.wdp"/><Relationship Id="rId10" Type="http://schemas.openxmlformats.org/officeDocument/2006/relationships/image" Target="media/image2.png"/><Relationship Id="rId19" Type="http://schemas.microsoft.com/office/2007/relationships/hdphoto" Target="media/hdphoto4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167B6-F055-4468-824D-C3467CCE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420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info DOUDOU</cp:lastModifiedBy>
  <cp:revision>31</cp:revision>
  <cp:lastPrinted>2013-05-18T22:39:00Z</cp:lastPrinted>
  <dcterms:created xsi:type="dcterms:W3CDTF">2013-05-17T16:26:00Z</dcterms:created>
  <dcterms:modified xsi:type="dcterms:W3CDTF">2018-02-12T23:43:00Z</dcterms:modified>
</cp:coreProperties>
</file>